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BF" w:rsidRDefault="00B971BF" w:rsidP="00B971BF">
      <w:pPr>
        <w:pStyle w:val="Titulo1"/>
        <w:pBdr>
          <w:bottom w:val="none" w:sz="0" w:space="0" w:color="auto"/>
        </w:pBdr>
        <w:spacing w:before="0"/>
        <w:jc w:val="center"/>
        <w:rPr>
          <w:rFonts w:ascii="Tahoma" w:hAnsi="Tahoma" w:cs="Tahoma"/>
          <w:color w:val="008000"/>
          <w:sz w:val="22"/>
          <w:szCs w:val="22"/>
        </w:rPr>
      </w:pPr>
      <w:r>
        <w:rPr>
          <w:rFonts w:ascii="Tahoma" w:hAnsi="Tahoma" w:cs="Tahoma"/>
          <w:color w:val="008000"/>
          <w:sz w:val="22"/>
          <w:szCs w:val="22"/>
        </w:rPr>
        <w:t>LEY DEL SISTEMA NACIONAL DE INFORMACIÓN ESTADÍSTICA Y GEOGRÁFICA</w:t>
      </w:r>
    </w:p>
    <w:p w:rsidR="00B971BF" w:rsidRDefault="00B971BF" w:rsidP="00B971BF">
      <w:pPr>
        <w:pStyle w:val="Titulo1"/>
        <w:pBdr>
          <w:bottom w:val="none" w:sz="0" w:space="0" w:color="auto"/>
        </w:pBdr>
        <w:spacing w:before="0"/>
        <w:jc w:val="center"/>
        <w:rPr>
          <w:rFonts w:ascii="Tahoma" w:hAnsi="Tahoma" w:cs="Tahoma"/>
          <w:sz w:val="20"/>
          <w:szCs w:val="20"/>
        </w:rPr>
      </w:pPr>
    </w:p>
    <w:p w:rsidR="00B971BF" w:rsidRDefault="00B971BF" w:rsidP="00B971BF">
      <w:pPr>
        <w:pStyle w:val="Textosinformato"/>
        <w:jc w:val="center"/>
        <w:rPr>
          <w:rFonts w:ascii="Tahoma" w:eastAsia="MS Mincho" w:hAnsi="Tahoma" w:cs="Tahoma"/>
          <w:b/>
          <w:bCs/>
          <w:sz w:val="16"/>
        </w:rPr>
      </w:pPr>
      <w:r>
        <w:rPr>
          <w:rFonts w:ascii="Tahoma" w:eastAsia="MS Mincho" w:hAnsi="Tahoma" w:cs="Tahoma"/>
          <w:b/>
          <w:bCs/>
          <w:sz w:val="16"/>
        </w:rPr>
        <w:t>Nueva Ley publicada en el Diario Oficial de la Federación el 16 de abril de 2008</w:t>
      </w:r>
    </w:p>
    <w:p w:rsidR="00B971BF" w:rsidRDefault="00B971BF" w:rsidP="00B971BF">
      <w:pPr>
        <w:pStyle w:val="Textosinformato"/>
        <w:jc w:val="center"/>
        <w:rPr>
          <w:rFonts w:ascii="Tahoma" w:eastAsia="MS Mincho" w:hAnsi="Tahoma" w:cs="Tahoma"/>
          <w:b/>
          <w:bCs/>
          <w:sz w:val="16"/>
          <w:szCs w:val="16"/>
        </w:rPr>
      </w:pPr>
    </w:p>
    <w:p w:rsidR="00B971BF" w:rsidRDefault="00B971BF" w:rsidP="00B971BF">
      <w:pPr>
        <w:pStyle w:val="Textosinformato"/>
        <w:jc w:val="center"/>
        <w:rPr>
          <w:rFonts w:ascii="Tahoma" w:eastAsia="MS Mincho" w:hAnsi="Tahoma" w:cs="Tahoma"/>
          <w:b/>
          <w:bCs/>
          <w:sz w:val="16"/>
          <w:szCs w:val="16"/>
        </w:rPr>
      </w:pPr>
      <w:r>
        <w:rPr>
          <w:rFonts w:ascii="Tahoma" w:eastAsia="MS Mincho" w:hAnsi="Tahoma" w:cs="Tahoma"/>
          <w:b/>
          <w:bCs/>
          <w:sz w:val="16"/>
          <w:szCs w:val="16"/>
        </w:rPr>
        <w:t>TEXTO VIGENTE</w:t>
      </w:r>
    </w:p>
    <w:p w:rsidR="00B971BF" w:rsidRDefault="00B971BF" w:rsidP="00B971BF">
      <w:pPr>
        <w:pStyle w:val="Textosinformato"/>
        <w:jc w:val="center"/>
        <w:rPr>
          <w:rFonts w:ascii="Tahoma" w:eastAsia="MS Mincho" w:hAnsi="Tahoma" w:cs="Tahoma"/>
          <w:b/>
          <w:bCs/>
          <w:color w:val="CC3300"/>
          <w:sz w:val="16"/>
          <w:szCs w:val="16"/>
        </w:rPr>
      </w:pPr>
      <w:r>
        <w:rPr>
          <w:rFonts w:ascii="Tahoma" w:eastAsia="MS Mincho" w:hAnsi="Tahoma" w:cs="Tahoma"/>
          <w:b/>
          <w:bCs/>
          <w:color w:val="CC3300"/>
          <w:sz w:val="16"/>
          <w:szCs w:val="16"/>
        </w:rPr>
        <w:t>Última reforma publicada DOF 25-06-2018</w:t>
      </w:r>
    </w:p>
    <w:p w:rsidR="00892F04" w:rsidRDefault="00892F04"/>
    <w:p w:rsidR="00B971BF" w:rsidRDefault="00B971BF">
      <w:r>
        <w:t>…</w:t>
      </w:r>
    </w:p>
    <w:p w:rsidR="00B971BF" w:rsidRDefault="00B971BF" w:rsidP="00B971BF">
      <w:pPr>
        <w:pStyle w:val="Texto"/>
        <w:spacing w:after="0" w:line="240" w:lineRule="auto"/>
        <w:rPr>
          <w:color w:val="000000"/>
          <w:sz w:val="20"/>
        </w:rPr>
      </w:pPr>
      <w:bookmarkStart w:id="0" w:name="Artículo_104"/>
      <w:r>
        <w:rPr>
          <w:b/>
          <w:color w:val="000000"/>
          <w:sz w:val="20"/>
        </w:rPr>
        <w:t>ARTÍCULO 104</w:t>
      </w:r>
      <w:bookmarkEnd w:id="0"/>
      <w:r>
        <w:rPr>
          <w:b/>
          <w:color w:val="000000"/>
          <w:sz w:val="20"/>
        </w:rPr>
        <w:t>.-</w:t>
      </w:r>
      <w:r>
        <w:rPr>
          <w:color w:val="000000"/>
          <w:sz w:val="20"/>
        </w:rPr>
        <w:t xml:space="preserve"> Son infracciones imputables a los servidores públicos del Instituto o a los servidores públicos de las Unidades las siguientes:</w:t>
      </w:r>
    </w:p>
    <w:p w:rsidR="00B971BF" w:rsidRDefault="00B971BF" w:rsidP="00B971BF">
      <w:pPr>
        <w:pStyle w:val="Texto"/>
        <w:spacing w:after="0" w:line="240" w:lineRule="auto"/>
        <w:rPr>
          <w:color w:val="000000"/>
          <w:sz w:val="20"/>
        </w:rPr>
      </w:pPr>
    </w:p>
    <w:p w:rsidR="00B971BF" w:rsidRDefault="00B971BF" w:rsidP="00B971BF">
      <w:pPr>
        <w:pStyle w:val="ROMANOS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La revelación de datos confidenciales;</w:t>
      </w:r>
    </w:p>
    <w:p w:rsidR="00B971BF" w:rsidRDefault="00B971BF" w:rsidP="00B971BF">
      <w:pPr>
        <w:pStyle w:val="ROMANOS"/>
        <w:spacing w:after="0" w:line="240" w:lineRule="auto"/>
        <w:rPr>
          <w:sz w:val="20"/>
          <w:szCs w:val="20"/>
        </w:rPr>
      </w:pPr>
    </w:p>
    <w:p w:rsidR="00B971BF" w:rsidRDefault="00B971BF" w:rsidP="00B971BF">
      <w:pPr>
        <w:pStyle w:val="ROMANOS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II.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La violación de las reservas de los secretos de carácter industrial o comercial o de cualquier otro tipo, o el suministro en forma nominativa o individualizada de los datos proporcionados por los Informantes del Sistema;</w:t>
      </w:r>
    </w:p>
    <w:p w:rsidR="00B971BF" w:rsidRDefault="00B971BF" w:rsidP="00B971BF">
      <w:pPr>
        <w:pStyle w:val="ROMANOS"/>
        <w:spacing w:after="0" w:line="240" w:lineRule="auto"/>
        <w:rPr>
          <w:sz w:val="20"/>
          <w:szCs w:val="20"/>
        </w:rPr>
      </w:pPr>
    </w:p>
    <w:p w:rsidR="00B971BF" w:rsidRDefault="00B971BF" w:rsidP="00B971BF">
      <w:pPr>
        <w:pStyle w:val="ROMANOS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La inobservancia de la reserva en materia de Información, cuando por causas de seguridad nacional hubiese sido declarada de divulgación restringida por la Junta de Gobierno;</w:t>
      </w:r>
    </w:p>
    <w:p w:rsidR="00B971BF" w:rsidRDefault="00B971BF" w:rsidP="00B971BF">
      <w:pPr>
        <w:pStyle w:val="ROMANOS"/>
        <w:spacing w:after="0" w:line="240" w:lineRule="auto"/>
        <w:rPr>
          <w:sz w:val="20"/>
          <w:szCs w:val="20"/>
        </w:rPr>
      </w:pPr>
    </w:p>
    <w:p w:rsidR="00B971BF" w:rsidRDefault="00B971BF" w:rsidP="00B971BF">
      <w:pPr>
        <w:pStyle w:val="ROMANOS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La participación deliberada en cualquier acto u omisión que entorpezca el desarrollo normal de los levantamientos censales o de los procesos de generación de Información;</w:t>
      </w:r>
    </w:p>
    <w:p w:rsidR="00B971BF" w:rsidRDefault="00B971BF" w:rsidP="00B971BF">
      <w:pPr>
        <w:pStyle w:val="ROMANOS"/>
        <w:spacing w:after="0" w:line="240" w:lineRule="auto"/>
        <w:rPr>
          <w:sz w:val="20"/>
          <w:szCs w:val="20"/>
        </w:rPr>
      </w:pPr>
    </w:p>
    <w:p w:rsidR="00B971BF" w:rsidRDefault="00B971BF" w:rsidP="00B971BF">
      <w:pPr>
        <w:pStyle w:val="ROMANOS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Impedir, sin justificación, el libre ejercicio de los derechos de acceso y rectificación de datos, cuando estuvieren a cargo de los registros administrativos establecidos por Ley, y</w:t>
      </w:r>
    </w:p>
    <w:p w:rsidR="00B971BF" w:rsidRDefault="00B971BF" w:rsidP="00B971BF">
      <w:pPr>
        <w:pStyle w:val="ROMANOS"/>
        <w:spacing w:after="0" w:line="240" w:lineRule="auto"/>
        <w:rPr>
          <w:sz w:val="20"/>
          <w:szCs w:val="20"/>
        </w:rPr>
      </w:pPr>
    </w:p>
    <w:p w:rsidR="00B971BF" w:rsidRDefault="00B971BF" w:rsidP="00B971BF">
      <w:pPr>
        <w:pStyle w:val="ROMANOS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VI.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Impedir el acceso del público a la Información a que tenga derecho.</w:t>
      </w:r>
    </w:p>
    <w:p w:rsidR="00B971BF" w:rsidRDefault="00B971BF" w:rsidP="00B971BF">
      <w:pPr>
        <w:pStyle w:val="Texto"/>
        <w:spacing w:after="0" w:line="240" w:lineRule="auto"/>
        <w:rPr>
          <w:b/>
          <w:color w:val="000000"/>
          <w:sz w:val="20"/>
          <w:szCs w:val="20"/>
        </w:rPr>
      </w:pPr>
    </w:p>
    <w:p w:rsidR="00B971BF" w:rsidRDefault="00B971BF" w:rsidP="00B971BF">
      <w:pPr>
        <w:pStyle w:val="Texto"/>
        <w:spacing w:after="0" w:line="240" w:lineRule="auto"/>
        <w:rPr>
          <w:color w:val="000000"/>
          <w:sz w:val="20"/>
        </w:rPr>
      </w:pPr>
      <w:bookmarkStart w:id="1" w:name="Artículo_105"/>
      <w:r>
        <w:rPr>
          <w:b/>
          <w:color w:val="000000"/>
          <w:sz w:val="20"/>
        </w:rPr>
        <w:t>ARTÍCULO 105</w:t>
      </w:r>
      <w:bookmarkEnd w:id="1"/>
      <w:r>
        <w:rPr>
          <w:b/>
          <w:color w:val="000000"/>
          <w:sz w:val="20"/>
        </w:rPr>
        <w:t>.-</w:t>
      </w:r>
      <w:r>
        <w:rPr>
          <w:color w:val="000000"/>
          <w:sz w:val="20"/>
        </w:rPr>
        <w:t xml:space="preserve"> Se reputarán infracciones de los recolectores o censores y auxiliares, cuando:</w:t>
      </w:r>
    </w:p>
    <w:p w:rsidR="00B971BF" w:rsidRDefault="00B971BF" w:rsidP="00B971BF">
      <w:pPr>
        <w:pStyle w:val="ROMANOS"/>
        <w:spacing w:after="0" w:line="240" w:lineRule="auto"/>
        <w:rPr>
          <w:sz w:val="20"/>
          <w:szCs w:val="20"/>
        </w:rPr>
      </w:pPr>
    </w:p>
    <w:p w:rsidR="00B971BF" w:rsidRDefault="00B971BF" w:rsidP="00B971BF">
      <w:pPr>
        <w:pStyle w:val="ROMANOS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Se nieguen a cumplir con las funciones que les sean encomendadas;</w:t>
      </w:r>
    </w:p>
    <w:p w:rsidR="00B971BF" w:rsidRDefault="00B971BF" w:rsidP="00B971BF">
      <w:pPr>
        <w:pStyle w:val="ROMANOS"/>
        <w:spacing w:after="0" w:line="240" w:lineRule="auto"/>
        <w:rPr>
          <w:sz w:val="20"/>
          <w:szCs w:val="20"/>
        </w:rPr>
      </w:pPr>
    </w:p>
    <w:p w:rsidR="00B971BF" w:rsidRDefault="00B971BF" w:rsidP="00B971BF">
      <w:pPr>
        <w:pStyle w:val="ROMANOS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II.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Violen la confidencialidad de los datos que se hayan captado para efectos estadísticos o revelen en forma nominativa o individualizada dichos datos, y</w:t>
      </w:r>
    </w:p>
    <w:p w:rsidR="00B971BF" w:rsidRDefault="00B971BF" w:rsidP="00B971BF">
      <w:pPr>
        <w:pStyle w:val="ROMANOS"/>
        <w:spacing w:after="0" w:line="240" w:lineRule="auto"/>
        <w:rPr>
          <w:sz w:val="20"/>
          <w:szCs w:val="20"/>
        </w:rPr>
      </w:pPr>
    </w:p>
    <w:p w:rsidR="00B971BF" w:rsidRDefault="00B971BF" w:rsidP="00B971BF">
      <w:pPr>
        <w:pStyle w:val="ROMANOS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Cometan actos o incurran en omisiones que impidan el desarrollo normal de los levantamientos censales o de los procesos de generación de Información.</w:t>
      </w:r>
    </w:p>
    <w:p w:rsidR="00B971BF" w:rsidRDefault="00B971BF" w:rsidP="00B971BF">
      <w:pPr>
        <w:pStyle w:val="Texto"/>
        <w:spacing w:after="0" w:line="240" w:lineRule="auto"/>
        <w:rPr>
          <w:color w:val="000000"/>
          <w:sz w:val="20"/>
          <w:szCs w:val="20"/>
        </w:rPr>
      </w:pPr>
    </w:p>
    <w:p w:rsidR="00B971BF" w:rsidRDefault="00B971BF" w:rsidP="00B971BF">
      <w:pPr>
        <w:pStyle w:val="Texto"/>
        <w:spacing w:after="0" w:line="240" w:lineRule="auto"/>
        <w:rPr>
          <w:color w:val="000000"/>
          <w:sz w:val="20"/>
        </w:rPr>
      </w:pPr>
      <w:r>
        <w:rPr>
          <w:color w:val="000000"/>
          <w:sz w:val="20"/>
        </w:rPr>
        <w:t>Para los efectos de este Título, serán considerados como recolectores o censores, las personas a las que el Instituto encomiende labores propias de recolección y recopilación de Información en forma periódica o durante el levantamiento censal, y como auxiliares, a quienes desempeñen cualquier otra actividad relacionada con el proceso de elaboración de la estadística y la obtención de datos de carácter geográfico.</w:t>
      </w:r>
    </w:p>
    <w:p w:rsidR="00B971BF" w:rsidRDefault="00B971BF">
      <w:r>
        <w:t>…</w:t>
      </w:r>
      <w:bookmarkStart w:id="2" w:name="_GoBack"/>
      <w:bookmarkEnd w:id="2"/>
    </w:p>
    <w:sectPr w:rsidR="00B971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BF"/>
    <w:rsid w:val="00892F04"/>
    <w:rsid w:val="00B9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A549"/>
  <w15:chartTrackingRefBased/>
  <w15:docId w15:val="{A3EEA058-C2CA-4B2E-9E07-CEA2C942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unhideWhenUsed/>
    <w:rsid w:val="00B971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971BF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itulo1">
    <w:name w:val="Titulo 1"/>
    <w:basedOn w:val="Normal"/>
    <w:rsid w:val="00B971BF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18"/>
      <w:lang w:eastAsia="es-MX"/>
    </w:rPr>
  </w:style>
  <w:style w:type="character" w:customStyle="1" w:styleId="TextoCar">
    <w:name w:val="Texto Car"/>
    <w:link w:val="Texto"/>
    <w:locked/>
    <w:rsid w:val="00B971BF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B971BF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paragraph" w:customStyle="1" w:styleId="ROMANOS">
    <w:name w:val="ROMANOS"/>
    <w:basedOn w:val="Normal"/>
    <w:rsid w:val="00B971B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MARTINEZ LUIS ALFONSO MARTIN</dc:creator>
  <cp:keywords/>
  <dc:description/>
  <cp:lastModifiedBy>ALVAREZ MARTINEZ LUIS ALFONSO MARTIN</cp:lastModifiedBy>
  <cp:revision>1</cp:revision>
  <dcterms:created xsi:type="dcterms:W3CDTF">2019-02-01T14:21:00Z</dcterms:created>
  <dcterms:modified xsi:type="dcterms:W3CDTF">2019-02-01T14:22:00Z</dcterms:modified>
</cp:coreProperties>
</file>